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right="0" w:firstLine="0"/>
        <w:jc w:val="center"/>
        <w:rPr>
          <w:rFonts w:ascii="PT Sans" w:cs="PT Sans" w:eastAsia="PT Sans" w:hAnsi="PT Sans"/>
        </w:rPr>
      </w:pPr>
      <w:r w:rsidDel="00000000" w:rsidR="00000000" w:rsidRPr="00000000">
        <w:rPr>
          <w:rFonts w:ascii="PT Sans" w:cs="PT Sans" w:eastAsia="PT Sans" w:hAnsi="PT Sans"/>
          <w:b w:val="1"/>
          <w:color w:val="00c19f"/>
          <w:sz w:val="38"/>
          <w:szCs w:val="38"/>
          <w:rtl w:val="0"/>
        </w:rPr>
        <w:t xml:space="preserve">Чеклист за к</w:t>
      </w:r>
      <w:r w:rsidDel="00000000" w:rsidR="00000000" w:rsidRPr="00000000">
        <w:rPr>
          <w:rFonts w:ascii="PT Sans" w:cs="PT Sans" w:eastAsia="PT Sans" w:hAnsi="PT Sans"/>
          <w:b w:val="1"/>
          <w:color w:val="00c19f"/>
          <w:sz w:val="38"/>
          <w:szCs w:val="38"/>
          <w:rtl w:val="0"/>
        </w:rPr>
        <w:t xml:space="preserve">ачествен</w:t>
      </w:r>
      <w:r w:rsidDel="00000000" w:rsidR="00000000" w:rsidRPr="00000000">
        <w:rPr>
          <w:rFonts w:ascii="PT Sans" w:cs="PT Sans" w:eastAsia="PT Sans" w:hAnsi="PT Sans"/>
          <w:b w:val="1"/>
          <w:color w:val="00c19f"/>
          <w:sz w:val="38"/>
          <w:szCs w:val="38"/>
          <w:rtl w:val="0"/>
        </w:rPr>
        <w:t xml:space="preserve"> Интегриран урок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0" w:right="0" w:firstLine="0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3665.0" w:type="dxa"/>
        <w:jc w:val="left"/>
        <w:tblInd w:w="-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42.9999999999998"/>
        <w:gridCol w:w="10467"/>
        <w:gridCol w:w="1155"/>
        <w:tblGridChange w:id="0">
          <w:tblGrid>
            <w:gridCol w:w="2042.9999999999998"/>
            <w:gridCol w:w="10467"/>
            <w:gridCol w:w="115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464ba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ffffff"/>
                <w:sz w:val="26"/>
                <w:szCs w:val="2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ffffff"/>
                <w:sz w:val="26"/>
                <w:szCs w:val="26"/>
                <w:rtl w:val="0"/>
              </w:rPr>
              <w:t xml:space="preserve">Елемент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464ba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ffffff"/>
                <w:sz w:val="26"/>
                <w:szCs w:val="2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ffffff"/>
                <w:sz w:val="26"/>
                <w:szCs w:val="26"/>
                <w:rtl w:val="0"/>
              </w:rPr>
              <w:t xml:space="preserve">Описание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464ba0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T Sans" w:cs="PT Sans" w:eastAsia="PT Sans" w:hAnsi="PT Sans"/>
                <w:b w:val="1"/>
                <w:color w:val="ffffff"/>
                <w:sz w:val="26"/>
                <w:szCs w:val="2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ffffff"/>
                <w:sz w:val="26"/>
                <w:szCs w:val="26"/>
                <w:rtl w:val="0"/>
              </w:rPr>
              <w:t xml:space="preserve">ДА/НЕ</w:t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vMerge w:val="restart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  <w:rtl w:val="0"/>
              </w:rPr>
              <w:t xml:space="preserve">Връзка между предметите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Темата обединява знания и умения от поне два предмета по естествен и смислен начин; 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1029695509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vMerge w:val="continue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after="0" w:before="0" w:line="240" w:lineRule="auto"/>
              <w:ind w:left="0" w:firstLine="0"/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Връзките между предметите са ясни за учениците.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-1634659081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vMerge w:val="restart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  <w:rtl w:val="0"/>
              </w:rPr>
              <w:t xml:space="preserve">Цел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Определени са очаквани резултати по всеки предмет като целите са конкретни и интегрирани (не просто поставени една до друга).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972946286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vMerge w:val="continue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after="0" w:before="0" w:line="240" w:lineRule="auto"/>
              <w:ind w:left="0" w:firstLine="0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Избрани са едно или две водещи социално-емоционални умения на фокус за развитие и са вплетени в дейностите.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-412386781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vMerge w:val="continue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after="0" w:before="0" w:line="240" w:lineRule="auto"/>
              <w:ind w:left="0" w:firstLine="0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Планираните дейности в хода на урока водят до постигане на поставените цели.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-2051762582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  <w:rtl w:val="0"/>
              </w:rPr>
              <w:t xml:space="preserve">Автентичност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Урокът свързва съдържанието с реален проблем, житейска ситуация или практически контекст, смислен за учениците.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-1924041452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  <w:rtl w:val="0"/>
              </w:rPr>
              <w:t xml:space="preserve">Активно участие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Учениците работят в екипи, дискутират, решават проблеми, създават продукт или решение.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-2114670609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  <w:rtl w:val="0"/>
              </w:rPr>
              <w:t xml:space="preserve">Формиращо оценяване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Има ясни критерии (чеклист, матрица); предвидени са моменти за самооценка и взаимна оценка и/или обратна връзка от учител.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452475340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Fonts w:ascii="PT Sans" w:cs="PT Sans" w:eastAsia="PT Sans" w:hAnsi="PT Sans"/>
                <w:rtl w:val="0"/>
              </w:rPr>
              <w:t xml:space="preserve"> </w:t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  <w:rtl w:val="0"/>
              </w:rPr>
              <w:t xml:space="preserve">Роля на учителите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Учителите работят като равноправни партньори – имат ясно разпределени роли и фасилитират заедно.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-1210869517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vMerge w:val="restart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</w:rPr>
            </w:pPr>
            <w:r w:rsidDel="00000000" w:rsidR="00000000" w:rsidRPr="00000000"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  <w:rtl w:val="0"/>
              </w:rPr>
              <w:t xml:space="preserve">Краен продукт и представяне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Учениците са достигнали до решение, извод, таблица, диаграма, мисловна карта.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-1492641995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vMerge w:val="continue"/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before="0" w:line="240" w:lineRule="auto"/>
              <w:ind w:left="0" w:firstLine="0"/>
              <w:rPr>
                <w:rFonts w:ascii="PT Sans" w:cs="PT Sans" w:eastAsia="PT Sans" w:hAnsi="PT Sans"/>
                <w:b w:val="1"/>
                <w:color w:val="464ba0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line="240" w:lineRule="auto"/>
              <w:rPr>
                <w:rFonts w:ascii="PT Sans" w:cs="PT Sans" w:eastAsia="PT Sans" w:hAnsi="PT Sans"/>
                <w:color w:val="4d4d4d"/>
              </w:rPr>
            </w:pPr>
            <w:r w:rsidDel="00000000" w:rsidR="00000000" w:rsidRPr="00000000">
              <w:rPr>
                <w:rFonts w:ascii="PT Sans" w:cs="PT Sans" w:eastAsia="PT Sans" w:hAnsi="PT Sans"/>
                <w:color w:val="4d4d4d"/>
                <w:rtl w:val="0"/>
              </w:rPr>
              <w:t xml:space="preserve">Учениците споделят продуктите/решенията пред класа.</w:t>
            </w:r>
          </w:p>
        </w:tc>
        <w:tc>
          <w:tcPr>
            <w:tcBorders>
              <w:top w:color="00c19f" w:space="0" w:sz="12" w:val="single"/>
              <w:left w:color="00c19f" w:space="0" w:sz="12" w:val="single"/>
              <w:bottom w:color="00c19f" w:space="0" w:sz="12" w:val="single"/>
              <w:right w:color="00c19f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jc w:val="center"/>
              <w:rPr>
                <w:rFonts w:ascii="PT Sans" w:cs="PT Sans" w:eastAsia="PT Sans" w:hAnsi="PT Sans"/>
              </w:rPr>
            </w:pPr>
            <w:sdt>
              <w:sdtPr>
                <w:alias w:val="Да/НЕ"/>
                <w:id w:val="-1277086836"/>
                <w:dropDownList w:lastValue="-">
                  <w:listItem w:displayText="ДА" w:value="ДА"/>
                  <w:listItem w:displayText="частично" w:value="частично"/>
                  <w:listItem w:displayText="НЕ" w:value="НЕ"/>
                  <w:listItem w:displayText="-" w:value="-"/>
                </w:dropDownList>
              </w:sdtPr>
              <w:sdtContent>
                <w:r w:rsidDel="00000000" w:rsidR="00000000" w:rsidRPr="00000000">
                  <w:rPr>
                    <w:rFonts w:ascii="PT Sans" w:cs="PT Sans" w:eastAsia="PT Sans" w:hAnsi="PT Sans"/>
                    <w:color w:val="000000"/>
                    <w:shd w:fill="e8eaed" w:val="clear"/>
                  </w:rPr>
                  <w:t xml:space="preserve">-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0" w:firstLine="0"/>
        <w:rPr>
          <w:rFonts w:ascii="PT Sans" w:cs="PT Sans" w:eastAsia="PT Sans" w:hAnsi="PT Sans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2240" w:w="15840" w:orient="landscape"/>
      <w:pgMar w:bottom="1440" w:top="2070" w:left="900" w:right="720" w:header="14.399999999999999" w:footer="15.0000000000003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T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ind w:left="-900" w:right="-720" w:firstLine="0"/>
      <w:rPr/>
    </w:pPr>
    <w:r w:rsidDel="00000000" w:rsidR="00000000" w:rsidRPr="00000000">
      <w:rPr/>
      <w:drawing>
        <wp:inline distB="114300" distT="114300" distL="114300" distR="114300">
          <wp:extent cx="7800404" cy="1132162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800404" cy="113216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ind w:left="-900" w:right="-720" w:firstLine="0"/>
      <w:rPr/>
    </w:pPr>
    <w:r w:rsidDel="00000000" w:rsidR="00000000" w:rsidRPr="00000000">
      <w:rPr/>
      <w:drawing>
        <wp:inline distB="114300" distT="114300" distL="114300" distR="114300">
          <wp:extent cx="7790688" cy="1295364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90688" cy="129536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-regular.ttf"/><Relationship Id="rId2" Type="http://schemas.openxmlformats.org/officeDocument/2006/relationships/font" Target="fonts/PTSans-bold.ttf"/><Relationship Id="rId3" Type="http://schemas.openxmlformats.org/officeDocument/2006/relationships/font" Target="fonts/PTSans-italic.ttf"/><Relationship Id="rId4" Type="http://schemas.openxmlformats.org/officeDocument/2006/relationships/font" Target="fonts/PTSans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